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nyWeb"/>
        <w:spacing w:before="0" w:after="0"/>
        <w:jc w:val="center"/>
        <w:rPr>
          <w:rFonts w:ascii="Calibri" w:hAnsi="Calibri" w:cs="Arial"/>
          <w:b/>
          <w:b/>
          <w:sz w:val="22"/>
          <w:szCs w:val="22"/>
        </w:rPr>
      </w:pPr>
      <w:r>
        <w:rPr>
          <w:rFonts w:cs="Arial" w:ascii="Calibri" w:hAnsi="Calibri"/>
          <w:b/>
          <w:sz w:val="22"/>
          <w:szCs w:val="22"/>
        </w:rPr>
      </w:r>
    </w:p>
    <w:p>
      <w:pPr>
        <w:pStyle w:val="NormalnyWeb"/>
        <w:spacing w:before="0" w:after="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nyWeb"/>
        <w:spacing w:before="0" w:after="0"/>
        <w:jc w:val="center"/>
        <w:rPr>
          <w:rFonts w:ascii="Arial" w:hAnsi="Arial"/>
          <w:sz w:val="20"/>
          <w:szCs w:val="20"/>
        </w:rPr>
      </w:pPr>
      <w:bookmarkStart w:id="0" w:name="__DdeLink__6776_1222689517"/>
      <w:r>
        <w:rPr>
          <w:rFonts w:cs="Arial" w:ascii="Arial" w:hAnsi="Arial"/>
          <w:b/>
          <w:sz w:val="20"/>
          <w:szCs w:val="20"/>
        </w:rPr>
        <w:t>Uchwała nr 1</w:t>
      </w:r>
      <w:bookmarkEnd w:id="0"/>
      <w:r>
        <w:rPr>
          <w:rFonts w:cs="Arial" w:ascii="Arial" w:hAnsi="Arial"/>
          <w:b/>
          <w:sz w:val="20"/>
          <w:szCs w:val="20"/>
        </w:rPr>
        <w:t>8</w:t>
      </w:r>
      <w:r>
        <w:rPr>
          <w:rFonts w:cs="Arial" w:ascii="Arial" w:hAnsi="Arial"/>
          <w:b/>
          <w:sz w:val="20"/>
          <w:szCs w:val="20"/>
        </w:rPr>
        <w:t>/RDPPMDG/202</w:t>
      </w:r>
      <w:r>
        <w:rPr>
          <w:rFonts w:cs="Arial" w:ascii="Arial" w:hAnsi="Arial"/>
          <w:b/>
          <w:sz w:val="20"/>
          <w:szCs w:val="20"/>
        </w:rPr>
        <w:t>2</w:t>
      </w:r>
    </w:p>
    <w:p>
      <w:pPr>
        <w:pStyle w:val="NormalnyWeb"/>
        <w:spacing w:before="0" w:after="0"/>
        <w:jc w:val="center"/>
        <w:rPr>
          <w:rFonts w:ascii="Arial" w:hAnsi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z dnia 2</w:t>
      </w:r>
      <w:r>
        <w:rPr>
          <w:rFonts w:cs="Arial" w:ascii="Arial" w:hAnsi="Arial"/>
          <w:b/>
          <w:sz w:val="20"/>
          <w:szCs w:val="20"/>
        </w:rPr>
        <w:t>2</w:t>
      </w:r>
      <w:r>
        <w:rPr>
          <w:rFonts w:cs="Arial" w:ascii="Arial" w:hAnsi="Arial"/>
          <w:b/>
          <w:sz w:val="20"/>
          <w:szCs w:val="20"/>
        </w:rPr>
        <w:t>-2</w:t>
      </w:r>
      <w:r>
        <w:rPr>
          <w:rFonts w:cs="Arial" w:ascii="Arial" w:hAnsi="Arial"/>
          <w:b/>
          <w:sz w:val="20"/>
          <w:szCs w:val="20"/>
        </w:rPr>
        <w:t>3</w:t>
      </w:r>
      <w:r>
        <w:rPr>
          <w:rFonts w:cs="Arial" w:ascii="Arial" w:hAnsi="Arial"/>
          <w:b/>
          <w:sz w:val="20"/>
          <w:szCs w:val="20"/>
        </w:rPr>
        <w:t xml:space="preserve"> </w:t>
      </w:r>
      <w:r>
        <w:rPr>
          <w:rFonts w:cs="Arial" w:ascii="Arial" w:hAnsi="Arial"/>
          <w:b/>
          <w:sz w:val="20"/>
          <w:szCs w:val="20"/>
        </w:rPr>
        <w:t>marca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b/>
          <w:sz w:val="20"/>
          <w:szCs w:val="20"/>
        </w:rPr>
        <w:t>202</w:t>
      </w:r>
      <w:r>
        <w:rPr>
          <w:rFonts w:cs="Arial" w:ascii="Arial" w:hAnsi="Arial"/>
          <w:b/>
          <w:sz w:val="20"/>
          <w:szCs w:val="20"/>
        </w:rPr>
        <w:t>2</w:t>
      </w:r>
      <w:r>
        <w:rPr>
          <w:rFonts w:cs="Arial" w:ascii="Arial" w:hAnsi="Arial"/>
          <w:b/>
          <w:sz w:val="20"/>
          <w:szCs w:val="20"/>
        </w:rPr>
        <w:t xml:space="preserve"> roku</w:t>
      </w:r>
    </w:p>
    <w:p>
      <w:pPr>
        <w:pStyle w:val="NormalnyWeb"/>
        <w:spacing w:before="0" w:after="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nyWeb"/>
        <w:spacing w:before="0" w:after="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nyWeb"/>
        <w:spacing w:before="0" w:after="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widowControl/>
        <w:suppressAutoHyphens w:val="false"/>
        <w:spacing w:lineRule="auto" w:line="360" w:before="0" w:after="0"/>
        <w:jc w:val="both"/>
        <w:rPr>
          <w:rFonts w:ascii="Arial" w:hAnsi="Arial"/>
          <w:sz w:val="20"/>
          <w:szCs w:val="20"/>
        </w:rPr>
      </w:pPr>
      <w:r>
        <w:rPr>
          <w:rFonts w:eastAsia="Times New Roman" w:cs="Arial" w:ascii="Arial" w:hAnsi="Arial"/>
          <w:b/>
          <w:bCs/>
          <w:sz w:val="20"/>
          <w:szCs w:val="20"/>
          <w:lang w:eastAsia="pl-PL"/>
        </w:rPr>
        <w:t xml:space="preserve">w sprawie: </w:t>
      </w:r>
      <w:bookmarkStart w:id="1" w:name="__DdeLink__14933_547770712"/>
      <w:bookmarkStart w:id="2" w:name="__DdeLink__3472_1896859850"/>
      <w:bookmarkEnd w:id="2"/>
      <w:r>
        <w:rPr>
          <w:rFonts w:eastAsia="Times New Roman" w:cs="Arial" w:ascii="Arial" w:hAnsi="Arial"/>
          <w:b w:val="false"/>
          <w:bCs w:val="false"/>
          <w:sz w:val="20"/>
          <w:szCs w:val="20"/>
          <w:lang w:eastAsia="pl-PL"/>
        </w:rPr>
        <w:t xml:space="preserve">zaopiniowania projektu </w:t>
      </w:r>
      <w:bookmarkStart w:id="3" w:name="__DdeLink__41404_54025748"/>
      <w:r>
        <w:rPr>
          <w:rFonts w:eastAsia="Times New Roman" w:cs="Arial" w:ascii="Arial" w:hAnsi="Arial"/>
          <w:b w:val="false"/>
          <w:bCs w:val="false"/>
          <w:sz w:val="20"/>
          <w:szCs w:val="20"/>
          <w:lang w:eastAsia="pl-PL"/>
        </w:rPr>
        <w:t xml:space="preserve">Zarządzenia ws.: </w:t>
      </w:r>
      <w:bookmarkEnd w:id="3"/>
      <w:bookmarkEnd w:id="1"/>
      <w:r>
        <w:rPr>
          <w:rFonts w:eastAsia="Times New Roman" w:cs="Times New Roman" w:ascii="Arial" w:hAnsi="Arial"/>
          <w:b w:val="false"/>
          <w:bCs w:val="false"/>
          <w:sz w:val="20"/>
          <w:szCs w:val="20"/>
          <w:lang w:eastAsia="pl-PL"/>
        </w:rPr>
        <w:t>przyjęcia zasad przyznawania, rozliczania i kontroli</w:t>
        <w:br/>
        <w:t>dotacji  w ramach art. 12 ust. 8 ustawy z dnia 12 marca 2022 r. o pomocy obywatelom Ukrainy w związku</w:t>
        <w:br/>
        <w:t>z konfliktem zbrojnym na terytorium tego państwa.</w:t>
      </w:r>
    </w:p>
    <w:p>
      <w:pPr>
        <w:pStyle w:val="Normal"/>
        <w:widowControl/>
        <w:suppressAutoHyphens w:val="false"/>
        <w:spacing w:lineRule="auto" w:line="360" w:before="0" w:after="0"/>
        <w:jc w:val="both"/>
        <w:rPr>
          <w:rFonts w:ascii="Arial" w:hAnsi="Arial" w:eastAsia="Times New Roman"/>
          <w:b w:val="false"/>
          <w:b w:val="false"/>
          <w:bCs w:val="false"/>
          <w:sz w:val="20"/>
          <w:szCs w:val="20"/>
          <w:lang w:eastAsia="pl-PL"/>
        </w:rPr>
      </w:pPr>
      <w:r>
        <w:rPr>
          <w:rFonts w:eastAsia="Times New Roman" w:ascii="Arial" w:hAnsi="Arial"/>
          <w:b w:val="false"/>
          <w:bCs w:val="false"/>
          <w:sz w:val="20"/>
          <w:szCs w:val="20"/>
          <w:lang w:eastAsia="pl-PL"/>
        </w:rPr>
      </w:r>
    </w:p>
    <w:p>
      <w:pPr>
        <w:pStyle w:val="Default"/>
        <w:spacing w:lineRule="auto" w:line="36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Na podstawie § 4, pkt 4 Uchwały nr VII/102/11 Rady Miejskiej w Dąbrowie Górniczej z dnia 26 maja 2011r.</w:t>
        <w:br/>
        <w:t>w sprawie trybu powoływania członków oraz organizacji i trybu działania Rady Działalności Pożytku Publicznego Miasta Dąbrowa Górnicza, na posiedzeniu w dniach 2</w:t>
      </w:r>
      <w:r>
        <w:rPr>
          <w:rFonts w:ascii="Arial" w:hAnsi="Arial"/>
          <w:sz w:val="20"/>
          <w:szCs w:val="20"/>
        </w:rPr>
        <w:t>2</w:t>
      </w:r>
      <w:r>
        <w:rPr>
          <w:rFonts w:ascii="Arial" w:hAnsi="Arial"/>
          <w:sz w:val="20"/>
          <w:szCs w:val="20"/>
        </w:rPr>
        <w:t>-</w:t>
      </w:r>
      <w:r>
        <w:rPr>
          <w:rFonts w:ascii="Arial" w:hAnsi="Arial"/>
          <w:sz w:val="20"/>
          <w:szCs w:val="20"/>
        </w:rPr>
        <w:t>23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marca</w:t>
      </w:r>
      <w:r>
        <w:rPr>
          <w:rFonts w:ascii="Arial" w:hAnsi="Arial"/>
          <w:sz w:val="20"/>
          <w:szCs w:val="20"/>
        </w:rPr>
        <w:t xml:space="preserve"> 202</w:t>
      </w:r>
      <w:r>
        <w:rPr>
          <w:rFonts w:ascii="Arial" w:hAnsi="Arial"/>
          <w:sz w:val="20"/>
          <w:szCs w:val="20"/>
        </w:rPr>
        <w:t>2</w:t>
      </w:r>
      <w:r>
        <w:rPr>
          <w:rFonts w:ascii="Arial" w:hAnsi="Arial"/>
          <w:sz w:val="20"/>
          <w:szCs w:val="20"/>
        </w:rPr>
        <w:t xml:space="preserve"> r. Rada postanawia: </w:t>
      </w:r>
    </w:p>
    <w:p>
      <w:pPr>
        <w:pStyle w:val="Default"/>
        <w:spacing w:lineRule="auto" w:line="3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Default"/>
        <w:spacing w:lineRule="auto" w:line="36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§1 </w:t>
      </w:r>
    </w:p>
    <w:p>
      <w:pPr>
        <w:pStyle w:val="Tretekstu"/>
        <w:spacing w:lineRule="auto" w:line="360"/>
        <w:jc w:val="center"/>
        <w:rPr>
          <w:rFonts w:ascii="Arial" w:hAnsi="Arial"/>
          <w:sz w:val="20"/>
          <w:szCs w:val="20"/>
        </w:rPr>
      </w:pPr>
      <w:r>
        <w:rPr>
          <w:rFonts w:eastAsia="Times New Roman" w:cs="Arial" w:ascii="Arial" w:hAnsi="Arial"/>
          <w:b w:val="false"/>
          <w:bCs w:val="false"/>
          <w:sz w:val="20"/>
          <w:szCs w:val="20"/>
          <w:lang w:eastAsia="pl-PL"/>
        </w:rPr>
        <w:t xml:space="preserve">Pozytywnie zaopiniować projekt Zarządzenia ws.: </w:t>
      </w:r>
      <w:r>
        <w:rPr>
          <w:rFonts w:eastAsia="Times New Roman" w:cs="Times New Roman" w:ascii="Arial" w:hAnsi="Arial"/>
          <w:b w:val="false"/>
          <w:bCs w:val="false"/>
          <w:sz w:val="20"/>
          <w:szCs w:val="20"/>
          <w:lang w:eastAsia="pl-PL"/>
        </w:rPr>
        <w:t xml:space="preserve">przyjęcia zasad przyznawania, rozliczania i kontroli dotacji  w ramach art. 12 ust. 8 ustawy z dnia 12 marca 2022 r. o pomocy obywatelom Ukrainy w związku </w:t>
        <w:br/>
        <w:t>z konfliktem zbrojnym na terytorium tego państwa.</w:t>
      </w:r>
    </w:p>
    <w:p>
      <w:pPr>
        <w:pStyle w:val="Default"/>
        <w:spacing w:lineRule="auto" w:line="36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§2 </w:t>
      </w:r>
    </w:p>
    <w:p>
      <w:pPr>
        <w:pStyle w:val="Default"/>
        <w:spacing w:lineRule="auto" w:line="36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Niniejszą uchwałę przedstawić Prezydentowi Miasta Dąbrowa Górnicza.</w:t>
      </w:r>
    </w:p>
    <w:p>
      <w:pPr>
        <w:pStyle w:val="Default"/>
        <w:spacing w:lineRule="auto" w:line="36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Default"/>
        <w:spacing w:lineRule="auto" w:line="36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§3 </w:t>
      </w:r>
    </w:p>
    <w:p>
      <w:pPr>
        <w:pStyle w:val="Default"/>
        <w:spacing w:lineRule="auto" w:line="36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Wykonanie uchwały powierza się Przewodniczącemu Rady Działalności Pożytku Publicznego Miasta Dąbrowa Górnicza. </w:t>
      </w:r>
    </w:p>
    <w:p>
      <w:pPr>
        <w:pStyle w:val="Default"/>
        <w:spacing w:lineRule="auto" w:line="36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Default"/>
        <w:spacing w:lineRule="auto" w:line="36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§4 </w:t>
      </w:r>
    </w:p>
    <w:p>
      <w:pPr>
        <w:pStyle w:val="Default"/>
        <w:spacing w:lineRule="auto" w:line="36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Uchwała wchodzi w życie z dniem podjęcia. </w:t>
      </w:r>
    </w:p>
    <w:p>
      <w:pPr>
        <w:pStyle w:val="Default"/>
        <w:spacing w:lineRule="auto" w:line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Default"/>
        <w:spacing w:lineRule="auto" w:line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Calibri" w:hAnsi="Calibri" w:cs="Arial"/>
          <w:sz w:val="22"/>
          <w:szCs w:val="22"/>
        </w:rPr>
      </w:pPr>
      <w:r>
        <w:rPr>
          <w:rFonts w:cs="Arial" w:ascii="Calibri" w:hAnsi="Calibri"/>
          <w:sz w:val="22"/>
          <w:szCs w:val="22"/>
        </w:rPr>
      </w:r>
    </w:p>
    <w:p>
      <w:pPr>
        <w:pStyle w:val="Default"/>
        <w:spacing w:lineRule="auto" w:line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Default"/>
        <w:spacing w:lineRule="auto" w:line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Default"/>
        <w:spacing w:lineRule="auto" w:line="360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Piotr Seremet</w:t>
      </w:r>
    </w:p>
    <w:p>
      <w:pPr>
        <w:pStyle w:val="Default"/>
        <w:spacing w:lineRule="auto" w:line="360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Przewodniczący</w:t>
      </w:r>
    </w:p>
    <w:p>
      <w:pPr>
        <w:pStyle w:val="Default"/>
        <w:widowControl/>
        <w:suppressAutoHyphens w:val="false"/>
        <w:spacing w:lineRule="auto" w:line="360" w:before="0" w:after="0"/>
        <w:jc w:val="right"/>
        <w:rPr>
          <w:rFonts w:ascii="Calibri" w:hAnsi="Calibri" w:eastAsia="Times New Roman" w:cs="Arial"/>
          <w:b w:val="false"/>
          <w:b w:val="false"/>
          <w:bCs w:val="false"/>
          <w:sz w:val="22"/>
          <w:szCs w:val="22"/>
          <w:lang w:eastAsia="pl-PL"/>
        </w:rPr>
      </w:pPr>
      <w:r>
        <w:rPr>
          <w:rFonts w:eastAsia="Times New Roman" w:cs="Arial" w:ascii="Calibri" w:hAnsi="Calibri"/>
          <w:b w:val="false"/>
          <w:bCs w:val="false"/>
          <w:sz w:val="22"/>
          <w:szCs w:val="22"/>
          <w:lang w:eastAsia="pl-PL"/>
        </w:rPr>
        <w:t>Rady Działalności Pożytku Publicznego Miasta Dąbrowa Górnicza</w:t>
      </w:r>
    </w:p>
    <w:p>
      <w:pPr>
        <w:pStyle w:val="Normal"/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jc w:val="left"/>
    </w:pPr>
    <w:rPr>
      <w:rFonts w:ascii="Liberation Serif" w:hAnsi="Liberation Serif" w:eastAsia="SimSun" w:cs="Lucida Sans"/>
      <w:color w:val="00000A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NormalnyWeb">
    <w:name w:val="Normalny (Web)"/>
    <w:basedOn w:val="Normal"/>
    <w:qFormat/>
    <w:pPr>
      <w:widowControl/>
      <w:suppressAutoHyphens w:val="false"/>
      <w:spacing w:before="100" w:after="100"/>
    </w:pPr>
    <w:rPr>
      <w:rFonts w:eastAsia="Times New Roman"/>
    </w:rPr>
  </w:style>
  <w:style w:type="paragraph" w:styleId="Default">
    <w:name w:val="Default"/>
    <w:basedOn w:val="Normal"/>
    <w:qFormat/>
    <w:pPr>
      <w:widowControl w:val="false"/>
      <w:suppressAutoHyphens w:val="true"/>
    </w:pPr>
    <w:rPr>
      <w:rFonts w:ascii="Arial" w:hAnsi="Arial" w:eastAsia="Arial" w:cs="Arial"/>
      <w:color w:val="000000"/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9113</TotalTime>
  <Application>LibreOffice/5.2.4.2$Windows_x86 LibreOffice_project/3d5603e1122f0f102b62521720ab13a38a4e0eb0</Application>
  <Pages>1</Pages>
  <Words>172</Words>
  <Characters>1015</Characters>
  <CharactersWithSpaces>1182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2021-02-15T13:50:49Z</dcterms:created>
  <dc:creator/>
  <dc:description/>
  <dc:language>pl-PL</dc:language>
  <cp:lastModifiedBy/>
  <cp:lastPrinted>2022-03-23T14:44:33Z</cp:lastPrinted>
  <dcterms:modified xsi:type="dcterms:W3CDTF">2022-03-24T10:27:12Z</dcterms:modified>
  <cp:revision>22</cp:revision>
  <dc:subject/>
  <dc:title/>
</cp:coreProperties>
</file>